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19" w:rsidRDefault="00F45C19" w:rsidP="00F45C19">
      <w:pPr>
        <w:pStyle w:val="Heading1"/>
      </w:pPr>
      <w:bookmarkStart w:id="0" w:name="_Toc326135859"/>
      <w:r w:rsidRPr="009E3412">
        <w:t>Lisa 2. Esialgne</w:t>
      </w:r>
      <w:r>
        <w:t xml:space="preserve"> hinnang arengukava või Euroopa Liidu algatusega kaasnevatele mõjudele</w:t>
      </w:r>
      <w:bookmarkEnd w:id="0"/>
      <w:r>
        <w:t xml:space="preserve"> </w:t>
      </w:r>
    </w:p>
    <w:tbl>
      <w:tblPr>
        <w:tblStyle w:val="TableGrid"/>
        <w:tblW w:w="14034" w:type="dxa"/>
        <w:tblInd w:w="-743" w:type="dxa"/>
        <w:tblLayout w:type="fixed"/>
        <w:tblLook w:val="04A0"/>
      </w:tblPr>
      <w:tblGrid>
        <w:gridCol w:w="1559"/>
        <w:gridCol w:w="2694"/>
        <w:gridCol w:w="1417"/>
        <w:gridCol w:w="2552"/>
        <w:gridCol w:w="709"/>
        <w:gridCol w:w="851"/>
        <w:gridCol w:w="992"/>
        <w:gridCol w:w="1276"/>
        <w:gridCol w:w="1984"/>
      </w:tblGrid>
      <w:tr w:rsidR="00F45C19" w:rsidRPr="00A736CE" w:rsidTr="006313B1">
        <w:trPr>
          <w:trHeight w:val="737"/>
        </w:trPr>
        <w:tc>
          <w:tcPr>
            <w:tcW w:w="1559" w:type="dxa"/>
          </w:tcPr>
          <w:p w:rsidR="00F45C19" w:rsidRDefault="00F45C19" w:rsidP="006313B1">
            <w:pPr>
              <w:rPr>
                <w:b/>
                <w:sz w:val="16"/>
                <w:szCs w:val="16"/>
              </w:rPr>
            </w:pPr>
            <w:r>
              <w:rPr>
                <w:b/>
                <w:sz w:val="16"/>
                <w:szCs w:val="16"/>
              </w:rPr>
              <w:t xml:space="preserve">1.1. Kavandatav muudatus või meede </w:t>
            </w:r>
          </w:p>
        </w:tc>
        <w:tc>
          <w:tcPr>
            <w:tcW w:w="12475" w:type="dxa"/>
            <w:gridSpan w:val="8"/>
          </w:tcPr>
          <w:p w:rsidR="00F45C19" w:rsidRPr="00A736CE" w:rsidRDefault="00F45C19" w:rsidP="006313B1">
            <w:pPr>
              <w:rPr>
                <w:i/>
                <w:sz w:val="16"/>
                <w:szCs w:val="16"/>
              </w:rPr>
            </w:pPr>
            <w:r w:rsidRPr="00A736CE">
              <w:rPr>
                <w:i/>
                <w:sz w:val="16"/>
                <w:szCs w:val="16"/>
              </w:rPr>
              <w:t xml:space="preserve">Kirjeldatakse </w:t>
            </w:r>
            <w:r w:rsidRPr="00A3348C">
              <w:rPr>
                <w:i/>
                <w:sz w:val="16"/>
                <w:szCs w:val="16"/>
                <w:u w:val="single"/>
              </w:rPr>
              <w:t>iga</w:t>
            </w:r>
            <w:r>
              <w:rPr>
                <w:i/>
                <w:sz w:val="16"/>
                <w:szCs w:val="16"/>
              </w:rPr>
              <w:t xml:space="preserve"> mõju avaldavat muudatust või meedet (neid võib olla 1-n) ning esitatakse alljärgnev informatsioon</w:t>
            </w:r>
          </w:p>
        </w:tc>
      </w:tr>
      <w:tr w:rsidR="00F45C19" w:rsidRPr="00A15E3F" w:rsidTr="006313B1">
        <w:trPr>
          <w:trHeight w:val="362"/>
        </w:trPr>
        <w:tc>
          <w:tcPr>
            <w:tcW w:w="1559" w:type="dxa"/>
            <w:vMerge w:val="restart"/>
          </w:tcPr>
          <w:p w:rsidR="00F45C19" w:rsidRPr="00C01AD0" w:rsidRDefault="00F45C19" w:rsidP="006313B1">
            <w:pPr>
              <w:rPr>
                <w:b/>
                <w:sz w:val="16"/>
                <w:szCs w:val="16"/>
              </w:rPr>
            </w:pPr>
            <w:r>
              <w:rPr>
                <w:b/>
                <w:sz w:val="16"/>
                <w:szCs w:val="16"/>
              </w:rPr>
              <w:t>1.2. M</w:t>
            </w:r>
            <w:r w:rsidRPr="00C01AD0">
              <w:rPr>
                <w:b/>
                <w:sz w:val="16"/>
                <w:szCs w:val="16"/>
              </w:rPr>
              <w:t>õjuvaldkond</w:t>
            </w:r>
            <w:r>
              <w:rPr>
                <w:b/>
                <w:sz w:val="16"/>
                <w:szCs w:val="16"/>
              </w:rPr>
              <w:t xml:space="preserve"> ja alavaldkond</w:t>
            </w:r>
          </w:p>
        </w:tc>
        <w:tc>
          <w:tcPr>
            <w:tcW w:w="2694" w:type="dxa"/>
            <w:vMerge w:val="restart"/>
          </w:tcPr>
          <w:p w:rsidR="00F45C19" w:rsidRPr="00FF1AB0" w:rsidRDefault="00F45C19" w:rsidP="006313B1">
            <w:pPr>
              <w:rPr>
                <w:sz w:val="16"/>
                <w:szCs w:val="16"/>
              </w:rPr>
            </w:pPr>
            <w:r w:rsidRPr="00CA5790">
              <w:rPr>
                <w:i/>
                <w:sz w:val="16"/>
                <w:szCs w:val="16"/>
              </w:rPr>
              <w:t>I-VI vastavalt HÕNTE §</w:t>
            </w:r>
            <w:r>
              <w:rPr>
                <w:i/>
                <w:sz w:val="16"/>
                <w:szCs w:val="16"/>
              </w:rPr>
              <w:t xml:space="preserve"> </w:t>
            </w:r>
            <w:r w:rsidRPr="00CA5790">
              <w:rPr>
                <w:i/>
                <w:sz w:val="16"/>
                <w:szCs w:val="16"/>
              </w:rPr>
              <w:t>46 lõike 1 ja kontrollküsimustiku järgi</w:t>
            </w:r>
            <w:r>
              <w:rPr>
                <w:i/>
                <w:sz w:val="16"/>
                <w:szCs w:val="16"/>
              </w:rPr>
              <w:t>. Ühe valdkonna kohta võib olla mitu alajaotist, kus muudatuse või meetmega kaasnevad mõjud avalduvad</w:t>
            </w:r>
          </w:p>
        </w:tc>
        <w:tc>
          <w:tcPr>
            <w:tcW w:w="1417" w:type="dxa"/>
            <w:vMerge w:val="restart"/>
          </w:tcPr>
          <w:p w:rsidR="00F45C19" w:rsidRPr="00C01AD0" w:rsidRDefault="00F45C19" w:rsidP="006313B1">
            <w:pPr>
              <w:rPr>
                <w:b/>
                <w:sz w:val="16"/>
                <w:szCs w:val="16"/>
              </w:rPr>
            </w:pPr>
            <w:r>
              <w:rPr>
                <w:b/>
                <w:sz w:val="16"/>
                <w:szCs w:val="16"/>
              </w:rPr>
              <w:t xml:space="preserve">1.3. Mõju avaldumisega seotud asjaolude kirjeldus </w:t>
            </w:r>
          </w:p>
        </w:tc>
        <w:tc>
          <w:tcPr>
            <w:tcW w:w="2552" w:type="dxa"/>
            <w:vMerge w:val="restart"/>
          </w:tcPr>
          <w:p w:rsidR="00F45C19" w:rsidRPr="00A3348C" w:rsidRDefault="00F45C19" w:rsidP="006313B1">
            <w:pPr>
              <w:rPr>
                <w:i/>
                <w:sz w:val="16"/>
                <w:szCs w:val="16"/>
              </w:rPr>
            </w:pPr>
            <w:r>
              <w:rPr>
                <w:i/>
                <w:sz w:val="16"/>
                <w:szCs w:val="16"/>
              </w:rPr>
              <w:t xml:space="preserve">Siin kirjeldatakse iga kontrollküsimustiku alaküsimuse tasandil, kuidas mõjud avalduvad (vt alapeatükki 3.4.3). </w:t>
            </w:r>
          </w:p>
        </w:tc>
        <w:tc>
          <w:tcPr>
            <w:tcW w:w="3828" w:type="dxa"/>
            <w:gridSpan w:val="4"/>
          </w:tcPr>
          <w:p w:rsidR="00F45C19" w:rsidRPr="00FF1AB0" w:rsidRDefault="00F45C19" w:rsidP="006313B1">
            <w:pPr>
              <w:rPr>
                <w:sz w:val="16"/>
                <w:szCs w:val="16"/>
              </w:rPr>
            </w:pPr>
            <w:r>
              <w:rPr>
                <w:b/>
                <w:sz w:val="16"/>
                <w:szCs w:val="16"/>
              </w:rPr>
              <w:t xml:space="preserve">1.4. </w:t>
            </w:r>
            <w:r w:rsidRPr="00C01AD0">
              <w:rPr>
                <w:b/>
                <w:sz w:val="16"/>
                <w:szCs w:val="16"/>
              </w:rPr>
              <w:t>Mõju olulisus</w:t>
            </w:r>
            <w:r>
              <w:rPr>
                <w:sz w:val="16"/>
                <w:szCs w:val="16"/>
              </w:rPr>
              <w:t xml:space="preserve"> (väike; keskmine; suur)</w:t>
            </w:r>
          </w:p>
        </w:tc>
        <w:tc>
          <w:tcPr>
            <w:tcW w:w="1984" w:type="dxa"/>
            <w:vMerge w:val="restart"/>
          </w:tcPr>
          <w:p w:rsidR="00F45C19" w:rsidRPr="00A15E3F" w:rsidRDefault="00F45C19" w:rsidP="006313B1">
            <w:pPr>
              <w:rPr>
                <w:sz w:val="16"/>
                <w:szCs w:val="16"/>
              </w:rPr>
            </w:pPr>
            <w:r>
              <w:rPr>
                <w:b/>
                <w:sz w:val="16"/>
                <w:szCs w:val="16"/>
              </w:rPr>
              <w:t xml:space="preserve">1.5. Koondhinnang mõju olulisusele </w:t>
            </w:r>
            <w:r>
              <w:rPr>
                <w:sz w:val="16"/>
                <w:szCs w:val="16"/>
              </w:rPr>
              <w:t xml:space="preserve">(v, k, s. </w:t>
            </w:r>
            <w:r w:rsidRPr="0001382B">
              <w:rPr>
                <w:rFonts w:asciiTheme="minorHAnsi" w:hAnsiTheme="minorHAnsi"/>
                <w:sz w:val="16"/>
                <w:szCs w:val="16"/>
              </w:rPr>
              <w:t>Kui neljast kriteeriumist vähemalt üks on saanud hinnangu „suur“ või vähemalt kaks kriteeriumi on saanud hinnangu „keskmine“, kvalifitseerub mõju oluliseks.</w:t>
            </w:r>
            <w:r w:rsidRPr="0001382B">
              <w:rPr>
                <w:sz w:val="16"/>
                <w:szCs w:val="16"/>
              </w:rPr>
              <w:t>)</w:t>
            </w:r>
          </w:p>
        </w:tc>
      </w:tr>
      <w:tr w:rsidR="00F45C19" w:rsidRPr="00A15E3F" w:rsidTr="006313B1">
        <w:trPr>
          <w:trHeight w:val="620"/>
        </w:trPr>
        <w:tc>
          <w:tcPr>
            <w:tcW w:w="1559" w:type="dxa"/>
            <w:vMerge/>
          </w:tcPr>
          <w:p w:rsidR="00F45C19" w:rsidRDefault="00F45C19" w:rsidP="006313B1">
            <w:pPr>
              <w:rPr>
                <w:b/>
                <w:sz w:val="16"/>
                <w:szCs w:val="16"/>
              </w:rPr>
            </w:pPr>
          </w:p>
        </w:tc>
        <w:tc>
          <w:tcPr>
            <w:tcW w:w="2694" w:type="dxa"/>
            <w:vMerge/>
          </w:tcPr>
          <w:p w:rsidR="00F45C19" w:rsidRPr="00CA5790" w:rsidRDefault="00F45C19" w:rsidP="006313B1">
            <w:pPr>
              <w:rPr>
                <w:i/>
                <w:sz w:val="16"/>
                <w:szCs w:val="16"/>
              </w:rPr>
            </w:pPr>
          </w:p>
        </w:tc>
        <w:tc>
          <w:tcPr>
            <w:tcW w:w="1417" w:type="dxa"/>
            <w:vMerge/>
          </w:tcPr>
          <w:p w:rsidR="00F45C19" w:rsidRDefault="00F45C19" w:rsidP="006313B1">
            <w:pPr>
              <w:rPr>
                <w:b/>
                <w:sz w:val="16"/>
                <w:szCs w:val="16"/>
              </w:rPr>
            </w:pPr>
          </w:p>
        </w:tc>
        <w:tc>
          <w:tcPr>
            <w:tcW w:w="2552" w:type="dxa"/>
            <w:vMerge/>
          </w:tcPr>
          <w:p w:rsidR="00F45C19" w:rsidRDefault="00F45C19" w:rsidP="006313B1">
            <w:pPr>
              <w:rPr>
                <w:b/>
                <w:sz w:val="16"/>
                <w:szCs w:val="16"/>
              </w:rPr>
            </w:pPr>
          </w:p>
        </w:tc>
        <w:tc>
          <w:tcPr>
            <w:tcW w:w="709" w:type="dxa"/>
          </w:tcPr>
          <w:p w:rsidR="00F45C19" w:rsidRPr="00C01AD0" w:rsidRDefault="00F45C19" w:rsidP="006313B1">
            <w:pPr>
              <w:rPr>
                <w:b/>
                <w:sz w:val="16"/>
                <w:szCs w:val="16"/>
              </w:rPr>
            </w:pPr>
            <w:r w:rsidRPr="00C01AD0">
              <w:rPr>
                <w:rFonts w:cstheme="minorHAnsi"/>
                <w:b/>
                <w:sz w:val="16"/>
                <w:szCs w:val="16"/>
              </w:rPr>
              <w:t>Ulatus</w:t>
            </w:r>
          </w:p>
        </w:tc>
        <w:tc>
          <w:tcPr>
            <w:tcW w:w="851" w:type="dxa"/>
          </w:tcPr>
          <w:p w:rsidR="00F45C19" w:rsidRPr="00C01AD0" w:rsidRDefault="00F45C19" w:rsidP="006313B1">
            <w:pPr>
              <w:rPr>
                <w:b/>
                <w:sz w:val="16"/>
                <w:szCs w:val="16"/>
              </w:rPr>
            </w:pPr>
            <w:r w:rsidRPr="00C01AD0">
              <w:rPr>
                <w:rFonts w:cstheme="minorHAnsi"/>
                <w:b/>
                <w:sz w:val="16"/>
                <w:szCs w:val="16"/>
              </w:rPr>
              <w:t>Sagedus</w:t>
            </w:r>
          </w:p>
        </w:tc>
        <w:tc>
          <w:tcPr>
            <w:tcW w:w="992" w:type="dxa"/>
          </w:tcPr>
          <w:p w:rsidR="00F45C19" w:rsidRPr="00C01AD0" w:rsidRDefault="00F45C19" w:rsidP="006313B1">
            <w:pPr>
              <w:rPr>
                <w:b/>
                <w:sz w:val="16"/>
                <w:szCs w:val="16"/>
              </w:rPr>
            </w:pPr>
            <w:r w:rsidRPr="00C01AD0">
              <w:rPr>
                <w:rFonts w:cstheme="minorHAnsi"/>
                <w:b/>
                <w:sz w:val="16"/>
                <w:szCs w:val="16"/>
              </w:rPr>
              <w:t>Sihtrühma suurus</w:t>
            </w:r>
          </w:p>
        </w:tc>
        <w:tc>
          <w:tcPr>
            <w:tcW w:w="1276" w:type="dxa"/>
          </w:tcPr>
          <w:p w:rsidR="00F45C19" w:rsidRPr="00C01AD0" w:rsidRDefault="00F45C19" w:rsidP="006313B1">
            <w:pPr>
              <w:rPr>
                <w:b/>
                <w:sz w:val="16"/>
                <w:szCs w:val="16"/>
              </w:rPr>
            </w:pPr>
            <w:r w:rsidRPr="00C01AD0">
              <w:rPr>
                <w:rFonts w:cstheme="minorHAnsi"/>
                <w:b/>
                <w:sz w:val="16"/>
                <w:szCs w:val="16"/>
              </w:rPr>
              <w:t>Ebasoovitava</w:t>
            </w:r>
            <w:r>
              <w:rPr>
                <w:rFonts w:cstheme="minorHAnsi"/>
                <w:b/>
                <w:sz w:val="16"/>
                <w:szCs w:val="16"/>
              </w:rPr>
              <w:t>te</w:t>
            </w:r>
            <w:r w:rsidRPr="00C01AD0">
              <w:rPr>
                <w:rFonts w:cstheme="minorHAnsi"/>
                <w:b/>
                <w:sz w:val="16"/>
                <w:szCs w:val="16"/>
              </w:rPr>
              <w:t xml:space="preserve"> mõjud</w:t>
            </w:r>
            <w:r>
              <w:rPr>
                <w:rFonts w:cstheme="minorHAnsi"/>
                <w:b/>
                <w:sz w:val="16"/>
                <w:szCs w:val="16"/>
              </w:rPr>
              <w:t>e risk</w:t>
            </w:r>
            <w:r w:rsidRPr="00C01AD0">
              <w:rPr>
                <w:rFonts w:cstheme="minorHAnsi"/>
                <w:b/>
                <w:sz w:val="16"/>
                <w:szCs w:val="16"/>
              </w:rPr>
              <w:t xml:space="preserve"> </w:t>
            </w:r>
          </w:p>
        </w:tc>
        <w:tc>
          <w:tcPr>
            <w:tcW w:w="1984" w:type="dxa"/>
            <w:vMerge/>
          </w:tcPr>
          <w:p w:rsidR="00F45C19" w:rsidRDefault="00F45C19" w:rsidP="006313B1">
            <w:pPr>
              <w:rPr>
                <w:b/>
                <w:sz w:val="16"/>
                <w:szCs w:val="16"/>
              </w:rPr>
            </w:pPr>
          </w:p>
        </w:tc>
      </w:tr>
      <w:tr w:rsidR="00F45C19" w:rsidRPr="003233AD" w:rsidTr="006313B1">
        <w:trPr>
          <w:trHeight w:val="126"/>
        </w:trPr>
        <w:tc>
          <w:tcPr>
            <w:tcW w:w="14034" w:type="dxa"/>
            <w:gridSpan w:val="9"/>
          </w:tcPr>
          <w:p w:rsidR="00F45C19" w:rsidRPr="003233AD" w:rsidRDefault="00F45C19" w:rsidP="006313B1">
            <w:pPr>
              <w:rPr>
                <w:i/>
                <w:sz w:val="4"/>
                <w:szCs w:val="4"/>
              </w:rPr>
            </w:pPr>
          </w:p>
        </w:tc>
      </w:tr>
      <w:tr w:rsidR="00F45C19" w:rsidRPr="00A15E3F" w:rsidTr="006313B1">
        <w:trPr>
          <w:trHeight w:val="305"/>
        </w:trPr>
        <w:tc>
          <w:tcPr>
            <w:tcW w:w="1559" w:type="dxa"/>
          </w:tcPr>
          <w:p w:rsidR="00F45C19" w:rsidRDefault="00F45C19" w:rsidP="006313B1">
            <w:pPr>
              <w:rPr>
                <w:b/>
                <w:sz w:val="16"/>
                <w:szCs w:val="16"/>
              </w:rPr>
            </w:pPr>
            <w:r>
              <w:rPr>
                <w:b/>
                <w:sz w:val="16"/>
                <w:szCs w:val="16"/>
              </w:rPr>
              <w:t xml:space="preserve">n.1. Kavandatav muudatus või meede </w:t>
            </w:r>
          </w:p>
        </w:tc>
        <w:tc>
          <w:tcPr>
            <w:tcW w:w="12475" w:type="dxa"/>
            <w:gridSpan w:val="8"/>
          </w:tcPr>
          <w:p w:rsidR="00F45C19" w:rsidRPr="00A736CE" w:rsidRDefault="00F45C19" w:rsidP="006313B1">
            <w:pPr>
              <w:rPr>
                <w:i/>
                <w:sz w:val="16"/>
                <w:szCs w:val="16"/>
              </w:rPr>
            </w:pPr>
            <w:r w:rsidRPr="00A736CE">
              <w:rPr>
                <w:i/>
                <w:sz w:val="16"/>
                <w:szCs w:val="16"/>
              </w:rPr>
              <w:t xml:space="preserve">Kirjeldatakse </w:t>
            </w:r>
            <w:r w:rsidRPr="00A3348C">
              <w:rPr>
                <w:i/>
                <w:sz w:val="16"/>
                <w:szCs w:val="16"/>
                <w:u w:val="single"/>
              </w:rPr>
              <w:t>iga</w:t>
            </w:r>
            <w:r>
              <w:rPr>
                <w:i/>
                <w:sz w:val="16"/>
                <w:szCs w:val="16"/>
              </w:rPr>
              <w:t xml:space="preserve"> mõju avaldavat muudatust või meedet (neid võib olla 1-n) ning esitatakse alljärgnev informatsioon</w:t>
            </w:r>
          </w:p>
        </w:tc>
      </w:tr>
      <w:tr w:rsidR="00F45C19" w:rsidRPr="00A15E3F" w:rsidTr="006313B1">
        <w:trPr>
          <w:trHeight w:val="382"/>
        </w:trPr>
        <w:tc>
          <w:tcPr>
            <w:tcW w:w="1559" w:type="dxa"/>
            <w:vMerge w:val="restart"/>
          </w:tcPr>
          <w:p w:rsidR="00F45C19" w:rsidRPr="00C01AD0" w:rsidRDefault="00F45C19" w:rsidP="006313B1">
            <w:pPr>
              <w:rPr>
                <w:b/>
                <w:sz w:val="16"/>
                <w:szCs w:val="16"/>
              </w:rPr>
            </w:pPr>
            <w:r>
              <w:rPr>
                <w:b/>
                <w:sz w:val="16"/>
                <w:szCs w:val="16"/>
              </w:rPr>
              <w:t>n.2. M</w:t>
            </w:r>
            <w:r w:rsidRPr="00C01AD0">
              <w:rPr>
                <w:b/>
                <w:sz w:val="16"/>
                <w:szCs w:val="16"/>
              </w:rPr>
              <w:t>õjuvaldkond</w:t>
            </w:r>
            <w:r>
              <w:rPr>
                <w:b/>
                <w:sz w:val="16"/>
                <w:szCs w:val="16"/>
              </w:rPr>
              <w:t xml:space="preserve"> ja alavaldkond</w:t>
            </w:r>
          </w:p>
        </w:tc>
        <w:tc>
          <w:tcPr>
            <w:tcW w:w="2694" w:type="dxa"/>
            <w:vMerge w:val="restart"/>
          </w:tcPr>
          <w:p w:rsidR="00F45C19" w:rsidRPr="00FF1AB0" w:rsidRDefault="00F45C19" w:rsidP="006313B1">
            <w:pPr>
              <w:rPr>
                <w:sz w:val="16"/>
                <w:szCs w:val="16"/>
              </w:rPr>
            </w:pPr>
            <w:r w:rsidRPr="00CA5790">
              <w:rPr>
                <w:i/>
                <w:sz w:val="16"/>
                <w:szCs w:val="16"/>
              </w:rPr>
              <w:t>I-VI vastavalt HÕNTE §</w:t>
            </w:r>
            <w:r>
              <w:rPr>
                <w:i/>
                <w:sz w:val="16"/>
                <w:szCs w:val="16"/>
              </w:rPr>
              <w:t xml:space="preserve"> </w:t>
            </w:r>
            <w:r w:rsidRPr="00CA5790">
              <w:rPr>
                <w:i/>
                <w:sz w:val="16"/>
                <w:szCs w:val="16"/>
              </w:rPr>
              <w:t>46 lõike 1 ja kontrollküsimustiku järgi</w:t>
            </w:r>
            <w:r>
              <w:rPr>
                <w:i/>
                <w:sz w:val="16"/>
                <w:szCs w:val="16"/>
              </w:rPr>
              <w:t>. Ühe valdkonna kohta võib olla mitu alajaotist, kus muudatuse või meetmega kaasnevad mõjud avalduvad</w:t>
            </w:r>
          </w:p>
        </w:tc>
        <w:tc>
          <w:tcPr>
            <w:tcW w:w="1417" w:type="dxa"/>
            <w:vMerge w:val="restart"/>
          </w:tcPr>
          <w:p w:rsidR="00F45C19" w:rsidRPr="00C01AD0" w:rsidRDefault="00F45C19" w:rsidP="006313B1">
            <w:pPr>
              <w:rPr>
                <w:b/>
                <w:sz w:val="16"/>
                <w:szCs w:val="16"/>
              </w:rPr>
            </w:pPr>
            <w:r>
              <w:rPr>
                <w:b/>
                <w:sz w:val="16"/>
                <w:szCs w:val="16"/>
              </w:rPr>
              <w:t xml:space="preserve">n.3. Mõju avaldumisega seotud asjaolude kirjeldus </w:t>
            </w:r>
          </w:p>
        </w:tc>
        <w:tc>
          <w:tcPr>
            <w:tcW w:w="2552" w:type="dxa"/>
            <w:vMerge w:val="restart"/>
          </w:tcPr>
          <w:p w:rsidR="00F45C19" w:rsidRDefault="00F45C19" w:rsidP="006313B1">
            <w:pPr>
              <w:rPr>
                <w:b/>
                <w:sz w:val="16"/>
                <w:szCs w:val="16"/>
              </w:rPr>
            </w:pPr>
            <w:r>
              <w:rPr>
                <w:i/>
                <w:sz w:val="16"/>
                <w:szCs w:val="16"/>
              </w:rPr>
              <w:t>Siin kirjeldatakse iga kontrollküsimustiku alaküsimuse tasandil, kuidas mõjud avalduvad (vt alapeatükki 3.4.3).</w:t>
            </w:r>
          </w:p>
        </w:tc>
        <w:tc>
          <w:tcPr>
            <w:tcW w:w="3828" w:type="dxa"/>
            <w:gridSpan w:val="4"/>
          </w:tcPr>
          <w:p w:rsidR="00F45C19" w:rsidRPr="00FF1AB0" w:rsidRDefault="00F45C19" w:rsidP="006313B1">
            <w:pPr>
              <w:rPr>
                <w:sz w:val="16"/>
                <w:szCs w:val="16"/>
              </w:rPr>
            </w:pPr>
            <w:r>
              <w:rPr>
                <w:b/>
                <w:sz w:val="16"/>
                <w:szCs w:val="16"/>
              </w:rPr>
              <w:t xml:space="preserve">n.4. </w:t>
            </w:r>
            <w:r w:rsidRPr="00C01AD0">
              <w:rPr>
                <w:b/>
                <w:sz w:val="16"/>
                <w:szCs w:val="16"/>
              </w:rPr>
              <w:t>Mõju olulisus</w:t>
            </w:r>
            <w:r>
              <w:rPr>
                <w:sz w:val="16"/>
                <w:szCs w:val="16"/>
              </w:rPr>
              <w:t xml:space="preserve"> (väike; keskmine; suur)</w:t>
            </w:r>
          </w:p>
        </w:tc>
        <w:tc>
          <w:tcPr>
            <w:tcW w:w="1984" w:type="dxa"/>
            <w:vMerge w:val="restart"/>
          </w:tcPr>
          <w:p w:rsidR="00F45C19" w:rsidRPr="00A15E3F" w:rsidRDefault="00F45C19" w:rsidP="006313B1">
            <w:pPr>
              <w:rPr>
                <w:sz w:val="16"/>
                <w:szCs w:val="16"/>
              </w:rPr>
            </w:pPr>
            <w:r>
              <w:rPr>
                <w:b/>
                <w:sz w:val="16"/>
                <w:szCs w:val="16"/>
              </w:rPr>
              <w:t xml:space="preserve">n.5. Koondhinnang mõju olulisusele </w:t>
            </w:r>
          </w:p>
        </w:tc>
      </w:tr>
      <w:tr w:rsidR="00F45C19" w:rsidRPr="00A15E3F" w:rsidTr="006313B1">
        <w:trPr>
          <w:trHeight w:val="620"/>
        </w:trPr>
        <w:tc>
          <w:tcPr>
            <w:tcW w:w="1559" w:type="dxa"/>
            <w:vMerge/>
          </w:tcPr>
          <w:p w:rsidR="00F45C19" w:rsidRDefault="00F45C19" w:rsidP="006313B1">
            <w:pPr>
              <w:rPr>
                <w:b/>
                <w:sz w:val="16"/>
                <w:szCs w:val="16"/>
              </w:rPr>
            </w:pPr>
          </w:p>
        </w:tc>
        <w:tc>
          <w:tcPr>
            <w:tcW w:w="2694" w:type="dxa"/>
            <w:vMerge/>
          </w:tcPr>
          <w:p w:rsidR="00F45C19" w:rsidRPr="00CA5790" w:rsidRDefault="00F45C19" w:rsidP="006313B1">
            <w:pPr>
              <w:rPr>
                <w:i/>
                <w:sz w:val="16"/>
                <w:szCs w:val="16"/>
              </w:rPr>
            </w:pPr>
          </w:p>
        </w:tc>
        <w:tc>
          <w:tcPr>
            <w:tcW w:w="1417" w:type="dxa"/>
            <w:vMerge/>
          </w:tcPr>
          <w:p w:rsidR="00F45C19" w:rsidRDefault="00F45C19" w:rsidP="006313B1">
            <w:pPr>
              <w:rPr>
                <w:b/>
                <w:sz w:val="16"/>
                <w:szCs w:val="16"/>
              </w:rPr>
            </w:pPr>
          </w:p>
        </w:tc>
        <w:tc>
          <w:tcPr>
            <w:tcW w:w="2552" w:type="dxa"/>
            <w:vMerge/>
          </w:tcPr>
          <w:p w:rsidR="00F45C19" w:rsidRDefault="00F45C19" w:rsidP="006313B1">
            <w:pPr>
              <w:rPr>
                <w:b/>
                <w:sz w:val="16"/>
                <w:szCs w:val="16"/>
              </w:rPr>
            </w:pPr>
          </w:p>
        </w:tc>
        <w:tc>
          <w:tcPr>
            <w:tcW w:w="709" w:type="dxa"/>
          </w:tcPr>
          <w:p w:rsidR="00F45C19" w:rsidRPr="00C01AD0" w:rsidRDefault="00F45C19" w:rsidP="006313B1">
            <w:pPr>
              <w:rPr>
                <w:b/>
                <w:sz w:val="16"/>
                <w:szCs w:val="16"/>
              </w:rPr>
            </w:pPr>
            <w:r w:rsidRPr="00C01AD0">
              <w:rPr>
                <w:rFonts w:cstheme="minorHAnsi"/>
                <w:b/>
                <w:sz w:val="16"/>
                <w:szCs w:val="16"/>
              </w:rPr>
              <w:t>Ulatus</w:t>
            </w:r>
          </w:p>
        </w:tc>
        <w:tc>
          <w:tcPr>
            <w:tcW w:w="851" w:type="dxa"/>
          </w:tcPr>
          <w:p w:rsidR="00F45C19" w:rsidRPr="00C01AD0" w:rsidRDefault="00F45C19" w:rsidP="006313B1">
            <w:pPr>
              <w:rPr>
                <w:b/>
                <w:sz w:val="16"/>
                <w:szCs w:val="16"/>
              </w:rPr>
            </w:pPr>
            <w:r w:rsidRPr="00C01AD0">
              <w:rPr>
                <w:rFonts w:cstheme="minorHAnsi"/>
                <w:b/>
                <w:sz w:val="16"/>
                <w:szCs w:val="16"/>
              </w:rPr>
              <w:t>Sagedus</w:t>
            </w:r>
          </w:p>
        </w:tc>
        <w:tc>
          <w:tcPr>
            <w:tcW w:w="992" w:type="dxa"/>
          </w:tcPr>
          <w:p w:rsidR="00F45C19" w:rsidRPr="00C01AD0" w:rsidRDefault="00F45C19" w:rsidP="006313B1">
            <w:pPr>
              <w:rPr>
                <w:b/>
                <w:sz w:val="16"/>
                <w:szCs w:val="16"/>
              </w:rPr>
            </w:pPr>
            <w:r w:rsidRPr="00C01AD0">
              <w:rPr>
                <w:rFonts w:cstheme="minorHAnsi"/>
                <w:b/>
                <w:sz w:val="16"/>
                <w:szCs w:val="16"/>
              </w:rPr>
              <w:t>Sihtrühma suurus</w:t>
            </w:r>
          </w:p>
        </w:tc>
        <w:tc>
          <w:tcPr>
            <w:tcW w:w="1276" w:type="dxa"/>
          </w:tcPr>
          <w:p w:rsidR="00F45C19" w:rsidRPr="00C01AD0" w:rsidRDefault="00F45C19" w:rsidP="006313B1">
            <w:pPr>
              <w:rPr>
                <w:rFonts w:cstheme="minorHAnsi"/>
                <w:b/>
                <w:sz w:val="16"/>
                <w:szCs w:val="16"/>
              </w:rPr>
            </w:pPr>
            <w:r w:rsidRPr="00C01AD0">
              <w:rPr>
                <w:rFonts w:cstheme="minorHAnsi"/>
                <w:b/>
                <w:sz w:val="16"/>
                <w:szCs w:val="16"/>
              </w:rPr>
              <w:t>Ebasoovitava</w:t>
            </w:r>
            <w:r>
              <w:rPr>
                <w:rFonts w:cstheme="minorHAnsi"/>
                <w:b/>
                <w:sz w:val="16"/>
                <w:szCs w:val="16"/>
              </w:rPr>
              <w:t>te</w:t>
            </w:r>
            <w:r w:rsidRPr="00C01AD0">
              <w:rPr>
                <w:rFonts w:cstheme="minorHAnsi"/>
                <w:b/>
                <w:sz w:val="16"/>
                <w:szCs w:val="16"/>
              </w:rPr>
              <w:t xml:space="preserve"> mõjud</w:t>
            </w:r>
            <w:r>
              <w:rPr>
                <w:rFonts w:cstheme="minorHAnsi"/>
                <w:b/>
                <w:sz w:val="16"/>
                <w:szCs w:val="16"/>
              </w:rPr>
              <w:t>e risk</w:t>
            </w:r>
          </w:p>
        </w:tc>
        <w:tc>
          <w:tcPr>
            <w:tcW w:w="1984" w:type="dxa"/>
            <w:vMerge/>
          </w:tcPr>
          <w:p w:rsidR="00F45C19" w:rsidRDefault="00F45C19" w:rsidP="006313B1">
            <w:pPr>
              <w:rPr>
                <w:b/>
                <w:sz w:val="16"/>
                <w:szCs w:val="16"/>
              </w:rPr>
            </w:pPr>
          </w:p>
        </w:tc>
      </w:tr>
      <w:tr w:rsidR="00F45C19" w:rsidRPr="003233AD" w:rsidTr="006313B1">
        <w:trPr>
          <w:trHeight w:val="88"/>
        </w:trPr>
        <w:tc>
          <w:tcPr>
            <w:tcW w:w="14034" w:type="dxa"/>
            <w:gridSpan w:val="9"/>
          </w:tcPr>
          <w:p w:rsidR="00F45C19" w:rsidRPr="003233AD" w:rsidRDefault="00F45C19" w:rsidP="006313B1">
            <w:pPr>
              <w:rPr>
                <w:i/>
                <w:sz w:val="4"/>
                <w:szCs w:val="4"/>
              </w:rPr>
            </w:pPr>
          </w:p>
        </w:tc>
      </w:tr>
      <w:tr w:rsidR="00F45C19" w:rsidRPr="00A15E3F" w:rsidTr="006313B1">
        <w:trPr>
          <w:trHeight w:val="620"/>
        </w:trPr>
        <w:tc>
          <w:tcPr>
            <w:tcW w:w="1559" w:type="dxa"/>
          </w:tcPr>
          <w:p w:rsidR="00F45C19" w:rsidRDefault="00F45C19" w:rsidP="006313B1">
            <w:pPr>
              <w:rPr>
                <w:b/>
                <w:sz w:val="16"/>
                <w:szCs w:val="16"/>
              </w:rPr>
            </w:pPr>
            <w:r>
              <w:rPr>
                <w:b/>
                <w:sz w:val="16"/>
                <w:szCs w:val="16"/>
              </w:rPr>
              <w:t>Edasine analüüs</w:t>
            </w:r>
          </w:p>
        </w:tc>
        <w:tc>
          <w:tcPr>
            <w:tcW w:w="12475" w:type="dxa"/>
            <w:gridSpan w:val="8"/>
          </w:tcPr>
          <w:p w:rsidR="00F45C19" w:rsidRPr="00A3348C" w:rsidRDefault="00F45C19" w:rsidP="006313B1">
            <w:pPr>
              <w:rPr>
                <w:i/>
                <w:sz w:val="16"/>
                <w:szCs w:val="16"/>
              </w:rPr>
            </w:pPr>
            <w:r>
              <w:rPr>
                <w:i/>
                <w:sz w:val="16"/>
                <w:szCs w:val="16"/>
              </w:rPr>
              <w:t xml:space="preserve">Oluliste mõjude puhul on vajalik kirjeldada, kuidas on kavas mõju avaldumist arengukava koostamise või Euroopa Liidu asjades seisukohtade täpsustamiseks põhjalikumalt analüüsida. Milline uuring on kavas teha? Kes ja milliseid mõjusid analüüsib? </w:t>
            </w:r>
          </w:p>
        </w:tc>
      </w:tr>
      <w:tr w:rsidR="00F45C19" w:rsidRPr="00A15E3F" w:rsidTr="006313B1">
        <w:trPr>
          <w:trHeight w:val="620"/>
        </w:trPr>
        <w:tc>
          <w:tcPr>
            <w:tcW w:w="1559" w:type="dxa"/>
          </w:tcPr>
          <w:p w:rsidR="00F45C19" w:rsidRDefault="00F45C19" w:rsidP="006313B1">
            <w:pPr>
              <w:rPr>
                <w:b/>
                <w:sz w:val="16"/>
                <w:szCs w:val="16"/>
              </w:rPr>
            </w:pPr>
            <w:r>
              <w:rPr>
                <w:b/>
                <w:sz w:val="16"/>
                <w:szCs w:val="16"/>
              </w:rPr>
              <w:t>Miks on mõju ebaoluline?</w:t>
            </w:r>
          </w:p>
        </w:tc>
        <w:tc>
          <w:tcPr>
            <w:tcW w:w="12475" w:type="dxa"/>
            <w:gridSpan w:val="8"/>
          </w:tcPr>
          <w:p w:rsidR="00F45C19" w:rsidRDefault="00F45C19" w:rsidP="006313B1">
            <w:pPr>
              <w:rPr>
                <w:i/>
                <w:sz w:val="16"/>
                <w:szCs w:val="16"/>
              </w:rPr>
            </w:pPr>
            <w:r>
              <w:rPr>
                <w:i/>
                <w:sz w:val="16"/>
                <w:szCs w:val="16"/>
              </w:rPr>
              <w:t>Kooskõlastusringile saadetavas dokumendis tuleb nelja kriteeriumi (ulatus, sihtrühma suurus, sagedus, ebasoovitavate mõjude risk) abil selgitada, miks algatuse ettevalmistaja ei pea mõnda tuvastatud mõju oluliseks ja/või miks ta ei kavatse mõnd oluliseks hinnatud mõju täiendavalt analüüsida.</w:t>
            </w:r>
          </w:p>
        </w:tc>
      </w:tr>
    </w:tbl>
    <w:p w:rsidR="00C91D4B" w:rsidRDefault="00C91D4B"/>
    <w:sectPr w:rsidR="00C91D4B" w:rsidSect="00F45C1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F45C19"/>
    <w:rsid w:val="00C91D4B"/>
    <w:rsid w:val="00E3459A"/>
    <w:rsid w:val="00F45C19"/>
    <w:rsid w:val="00F60D9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19"/>
    <w:rPr>
      <w:rFonts w:ascii="Calibri" w:eastAsia="Calibri" w:hAnsi="Calibri" w:cs="Times New Roman"/>
    </w:rPr>
  </w:style>
  <w:style w:type="paragraph" w:styleId="Heading1">
    <w:name w:val="heading 1"/>
    <w:basedOn w:val="Normal"/>
    <w:next w:val="Normal"/>
    <w:link w:val="Heading1Char"/>
    <w:uiPriority w:val="9"/>
    <w:qFormat/>
    <w:rsid w:val="00F45C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C19"/>
    <w:rPr>
      <w:rFonts w:ascii="Cambria" w:eastAsia="Times New Roman" w:hAnsi="Cambria" w:cs="Times New Roman"/>
      <w:b/>
      <w:bCs/>
      <w:color w:val="365F91"/>
      <w:sz w:val="28"/>
      <w:szCs w:val="28"/>
    </w:rPr>
  </w:style>
  <w:style w:type="table" w:styleId="TableGrid">
    <w:name w:val="Table Grid"/>
    <w:basedOn w:val="TableNormal"/>
    <w:uiPriority w:val="59"/>
    <w:rsid w:val="00F45C19"/>
    <w:pPr>
      <w:spacing w:after="0" w:line="240" w:lineRule="auto"/>
    </w:pPr>
    <w:rPr>
      <w:rFonts w:ascii="Calibri" w:eastAsia="Calibri" w:hAnsi="Calibri"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1843</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JuhaniL</dc:creator>
  <cp:lastModifiedBy>JuhaniL</cp:lastModifiedBy>
  <cp:revision>1</cp:revision>
  <dcterms:created xsi:type="dcterms:W3CDTF">2012-06-14T10:03:00Z</dcterms:created>
  <dcterms:modified xsi:type="dcterms:W3CDTF">2012-06-14T10:03:00Z</dcterms:modified>
</cp:coreProperties>
</file>